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026D5" w14:textId="77777777" w:rsidR="005512E1" w:rsidRPr="00F31416" w:rsidRDefault="005512E1" w:rsidP="005512E1">
      <w:pPr>
        <w:spacing w:after="0" w:line="240" w:lineRule="auto"/>
        <w:jc w:val="center"/>
        <w:rPr>
          <w:rFonts w:ascii="Times New Roman" w:eastAsia="Times New Roman" w:hAnsi="Times New Roman" w:cs="Times New Roman"/>
          <w:sz w:val="24"/>
          <w:szCs w:val="24"/>
          <w:lang w:eastAsia="es-CO"/>
        </w:rPr>
      </w:pPr>
      <w:r w:rsidRPr="00F31416">
        <w:rPr>
          <w:rFonts w:ascii="Times New Roman" w:eastAsia="Times New Roman" w:hAnsi="Times New Roman" w:cs="Times New Roman"/>
          <w:b/>
          <w:bCs/>
          <w:sz w:val="24"/>
          <w:szCs w:val="24"/>
          <w:lang w:eastAsia="es-CO"/>
        </w:rPr>
        <w:t xml:space="preserve">OFICIO </w:t>
      </w:r>
      <w:proofErr w:type="spellStart"/>
      <w:r w:rsidRPr="00F31416">
        <w:rPr>
          <w:rFonts w:ascii="Times New Roman" w:eastAsia="Times New Roman" w:hAnsi="Times New Roman" w:cs="Times New Roman"/>
          <w:b/>
          <w:bCs/>
          <w:sz w:val="24"/>
          <w:szCs w:val="24"/>
          <w:lang w:eastAsia="es-CO"/>
        </w:rPr>
        <w:t>Nº</w:t>
      </w:r>
      <w:proofErr w:type="spellEnd"/>
      <w:r w:rsidRPr="00F31416">
        <w:rPr>
          <w:rFonts w:ascii="Times New Roman" w:eastAsia="Times New Roman" w:hAnsi="Times New Roman" w:cs="Times New Roman"/>
          <w:b/>
          <w:bCs/>
          <w:sz w:val="24"/>
          <w:szCs w:val="24"/>
          <w:lang w:eastAsia="es-CO"/>
        </w:rPr>
        <w:t xml:space="preserve"> 1842 [901559]</w:t>
      </w:r>
    </w:p>
    <w:p w14:paraId="3AEE8402" w14:textId="77777777" w:rsidR="005512E1" w:rsidRPr="00F31416" w:rsidRDefault="005512E1" w:rsidP="005512E1">
      <w:pPr>
        <w:spacing w:after="0" w:line="240" w:lineRule="auto"/>
        <w:jc w:val="center"/>
        <w:rPr>
          <w:rFonts w:ascii="Times New Roman" w:eastAsia="Times New Roman" w:hAnsi="Times New Roman" w:cs="Times New Roman"/>
          <w:sz w:val="24"/>
          <w:szCs w:val="24"/>
          <w:lang w:eastAsia="es-CO"/>
        </w:rPr>
      </w:pPr>
      <w:r w:rsidRPr="00F31416">
        <w:rPr>
          <w:rFonts w:ascii="Times New Roman" w:eastAsia="Times New Roman" w:hAnsi="Times New Roman" w:cs="Times New Roman"/>
          <w:b/>
          <w:bCs/>
          <w:sz w:val="24"/>
          <w:szCs w:val="24"/>
          <w:lang w:eastAsia="es-CO"/>
        </w:rPr>
        <w:t>26-07-2019</w:t>
      </w:r>
    </w:p>
    <w:p w14:paraId="6B4B1744" w14:textId="77777777" w:rsidR="005512E1" w:rsidRPr="00F31416" w:rsidRDefault="005512E1" w:rsidP="005512E1">
      <w:pPr>
        <w:spacing w:after="0" w:line="240" w:lineRule="auto"/>
        <w:jc w:val="center"/>
        <w:rPr>
          <w:rFonts w:ascii="Times New Roman" w:eastAsia="Times New Roman" w:hAnsi="Times New Roman" w:cs="Times New Roman"/>
          <w:sz w:val="24"/>
          <w:szCs w:val="24"/>
          <w:lang w:eastAsia="es-CO"/>
        </w:rPr>
      </w:pPr>
      <w:r w:rsidRPr="00F31416">
        <w:rPr>
          <w:rFonts w:ascii="Times New Roman" w:eastAsia="Times New Roman" w:hAnsi="Times New Roman" w:cs="Times New Roman"/>
          <w:b/>
          <w:bCs/>
          <w:sz w:val="24"/>
          <w:szCs w:val="24"/>
          <w:lang w:eastAsia="es-CO"/>
        </w:rPr>
        <w:t>DIAN</w:t>
      </w:r>
    </w:p>
    <w:p w14:paraId="3AC8840A" w14:textId="77777777" w:rsidR="005512E1" w:rsidRPr="00F31416" w:rsidRDefault="005512E1" w:rsidP="005512E1">
      <w:pPr>
        <w:spacing w:after="0" w:line="240" w:lineRule="auto"/>
        <w:jc w:val="both"/>
        <w:rPr>
          <w:rFonts w:ascii="Times New Roman" w:eastAsia="Times New Roman" w:hAnsi="Times New Roman" w:cs="Times New Roman"/>
          <w:sz w:val="24"/>
          <w:szCs w:val="24"/>
          <w:lang w:eastAsia="es-CO"/>
        </w:rPr>
      </w:pPr>
      <w:r w:rsidRPr="00F31416">
        <w:rPr>
          <w:rFonts w:ascii="Times New Roman" w:eastAsia="Times New Roman" w:hAnsi="Times New Roman" w:cs="Times New Roman"/>
          <w:b/>
          <w:bCs/>
          <w:sz w:val="24"/>
          <w:szCs w:val="24"/>
          <w:lang w:eastAsia="es-CO"/>
        </w:rPr>
        <w:t> </w:t>
      </w:r>
    </w:p>
    <w:p w14:paraId="397E42AF" w14:textId="77777777" w:rsidR="005512E1" w:rsidRPr="00F31416" w:rsidRDefault="005512E1" w:rsidP="005512E1">
      <w:pPr>
        <w:spacing w:after="0" w:line="240" w:lineRule="auto"/>
        <w:jc w:val="both"/>
        <w:rPr>
          <w:rFonts w:ascii="Times New Roman" w:eastAsia="Times New Roman" w:hAnsi="Times New Roman" w:cs="Times New Roman"/>
          <w:sz w:val="24"/>
          <w:szCs w:val="24"/>
          <w:lang w:eastAsia="es-CO"/>
        </w:rPr>
      </w:pPr>
      <w:r w:rsidRPr="00F31416">
        <w:rPr>
          <w:rFonts w:ascii="Times New Roman" w:eastAsia="Times New Roman" w:hAnsi="Times New Roman" w:cs="Times New Roman"/>
          <w:b/>
          <w:bCs/>
          <w:sz w:val="24"/>
          <w:szCs w:val="24"/>
          <w:lang w:eastAsia="es-CO"/>
        </w:rPr>
        <w:t> </w:t>
      </w:r>
    </w:p>
    <w:p w14:paraId="3BD0FF41" w14:textId="77777777" w:rsidR="005512E1" w:rsidRPr="00F31416" w:rsidRDefault="005512E1" w:rsidP="005512E1">
      <w:pPr>
        <w:spacing w:after="0" w:line="240" w:lineRule="auto"/>
        <w:jc w:val="both"/>
        <w:rPr>
          <w:rFonts w:ascii="Times New Roman" w:eastAsia="Times New Roman" w:hAnsi="Times New Roman" w:cs="Times New Roman"/>
          <w:sz w:val="24"/>
          <w:szCs w:val="24"/>
          <w:lang w:eastAsia="es-CO"/>
        </w:rPr>
      </w:pPr>
      <w:r w:rsidRPr="00F31416">
        <w:rPr>
          <w:rFonts w:ascii="Times New Roman" w:eastAsia="Times New Roman" w:hAnsi="Times New Roman" w:cs="Times New Roman"/>
          <w:sz w:val="24"/>
          <w:szCs w:val="24"/>
          <w:lang w:eastAsia="es-CO"/>
        </w:rPr>
        <w:t>Subdirección de Gestión Normativa y Doctrina</w:t>
      </w:r>
    </w:p>
    <w:p w14:paraId="5BDD259F" w14:textId="77777777" w:rsidR="005512E1" w:rsidRPr="00F31416" w:rsidRDefault="005512E1" w:rsidP="005512E1">
      <w:pPr>
        <w:spacing w:after="0" w:line="240" w:lineRule="auto"/>
        <w:jc w:val="both"/>
        <w:rPr>
          <w:rFonts w:ascii="Times New Roman" w:eastAsia="Times New Roman" w:hAnsi="Times New Roman" w:cs="Times New Roman"/>
          <w:sz w:val="24"/>
          <w:szCs w:val="24"/>
          <w:lang w:eastAsia="es-CO"/>
        </w:rPr>
      </w:pPr>
      <w:r w:rsidRPr="00F31416">
        <w:rPr>
          <w:rFonts w:ascii="Times New Roman" w:eastAsia="Times New Roman" w:hAnsi="Times New Roman" w:cs="Times New Roman"/>
          <w:sz w:val="24"/>
          <w:szCs w:val="24"/>
          <w:lang w:eastAsia="es-CO"/>
        </w:rPr>
        <w:t>Bogotá, D.C.</w:t>
      </w:r>
      <w:bookmarkStart w:id="0" w:name="_GoBack"/>
      <w:bookmarkEnd w:id="0"/>
    </w:p>
    <w:p w14:paraId="4DF929C4" w14:textId="77777777" w:rsidR="005512E1" w:rsidRPr="00F31416" w:rsidRDefault="005512E1" w:rsidP="005512E1">
      <w:pPr>
        <w:spacing w:after="0" w:line="240" w:lineRule="auto"/>
        <w:jc w:val="both"/>
        <w:rPr>
          <w:rFonts w:ascii="Times New Roman" w:eastAsia="Times New Roman" w:hAnsi="Times New Roman" w:cs="Times New Roman"/>
          <w:sz w:val="24"/>
          <w:szCs w:val="24"/>
          <w:lang w:eastAsia="es-CO"/>
        </w:rPr>
      </w:pPr>
      <w:r w:rsidRPr="00F31416">
        <w:rPr>
          <w:rFonts w:ascii="Times New Roman" w:eastAsia="Times New Roman" w:hAnsi="Times New Roman" w:cs="Times New Roman"/>
          <w:sz w:val="24"/>
          <w:szCs w:val="24"/>
          <w:lang w:eastAsia="es-CO"/>
        </w:rPr>
        <w:t>001842</w:t>
      </w:r>
    </w:p>
    <w:p w14:paraId="6AC41858" w14:textId="77777777" w:rsidR="005512E1" w:rsidRPr="00F31416" w:rsidRDefault="005512E1" w:rsidP="005512E1">
      <w:pPr>
        <w:spacing w:after="0" w:line="240" w:lineRule="auto"/>
        <w:jc w:val="both"/>
        <w:rPr>
          <w:rFonts w:ascii="Times New Roman" w:eastAsia="Times New Roman" w:hAnsi="Times New Roman" w:cs="Times New Roman"/>
          <w:sz w:val="24"/>
          <w:szCs w:val="24"/>
          <w:lang w:eastAsia="es-CO"/>
        </w:rPr>
      </w:pPr>
      <w:r w:rsidRPr="00F31416">
        <w:rPr>
          <w:rFonts w:ascii="Times New Roman" w:eastAsia="Times New Roman" w:hAnsi="Times New Roman" w:cs="Times New Roman"/>
          <w:sz w:val="24"/>
          <w:szCs w:val="24"/>
          <w:lang w:eastAsia="es-CO"/>
        </w:rPr>
        <w:t> </w:t>
      </w:r>
    </w:p>
    <w:p w14:paraId="7FE6E77E" w14:textId="77777777" w:rsidR="005512E1" w:rsidRPr="00F31416" w:rsidRDefault="005512E1" w:rsidP="005512E1">
      <w:pPr>
        <w:spacing w:after="0" w:line="240" w:lineRule="auto"/>
        <w:jc w:val="both"/>
        <w:rPr>
          <w:rFonts w:ascii="Times New Roman" w:eastAsia="Times New Roman" w:hAnsi="Times New Roman" w:cs="Times New Roman"/>
          <w:sz w:val="24"/>
          <w:szCs w:val="24"/>
          <w:lang w:eastAsia="es-CO"/>
        </w:rPr>
      </w:pPr>
      <w:proofErr w:type="spellStart"/>
      <w:r w:rsidRPr="00F31416">
        <w:rPr>
          <w:rFonts w:ascii="Times New Roman" w:eastAsia="Times New Roman" w:hAnsi="Times New Roman" w:cs="Times New Roman"/>
          <w:b/>
          <w:bCs/>
          <w:sz w:val="24"/>
          <w:szCs w:val="24"/>
          <w:lang w:eastAsia="es-CO"/>
        </w:rPr>
        <w:t>Ref</w:t>
      </w:r>
      <w:proofErr w:type="spellEnd"/>
      <w:r w:rsidRPr="00F31416">
        <w:rPr>
          <w:rFonts w:ascii="Times New Roman" w:eastAsia="Times New Roman" w:hAnsi="Times New Roman" w:cs="Times New Roman"/>
          <w:b/>
          <w:bCs/>
          <w:sz w:val="24"/>
          <w:szCs w:val="24"/>
          <w:lang w:eastAsia="es-CO"/>
        </w:rPr>
        <w:t>:</w:t>
      </w:r>
      <w:r w:rsidRPr="00F31416">
        <w:rPr>
          <w:rFonts w:ascii="Times New Roman" w:eastAsia="Times New Roman" w:hAnsi="Times New Roman" w:cs="Times New Roman"/>
          <w:sz w:val="24"/>
          <w:szCs w:val="24"/>
          <w:lang w:eastAsia="es-CO"/>
        </w:rPr>
        <w:t> Radicado 100044722 del 04/07/2019</w:t>
      </w:r>
    </w:p>
    <w:p w14:paraId="584BD2D2" w14:textId="77777777" w:rsidR="005512E1" w:rsidRPr="00F31416" w:rsidRDefault="005512E1" w:rsidP="005512E1">
      <w:pPr>
        <w:spacing w:after="0" w:line="240" w:lineRule="auto"/>
        <w:jc w:val="both"/>
        <w:rPr>
          <w:rFonts w:ascii="Times New Roman" w:eastAsia="Times New Roman" w:hAnsi="Times New Roman" w:cs="Times New Roman"/>
          <w:sz w:val="24"/>
          <w:szCs w:val="24"/>
          <w:lang w:eastAsia="es-CO"/>
        </w:rPr>
      </w:pPr>
      <w:r w:rsidRPr="00F31416">
        <w:rPr>
          <w:rFonts w:ascii="Times New Roman" w:eastAsia="Times New Roman" w:hAnsi="Times New Roman" w:cs="Times New Roman"/>
          <w:sz w:val="24"/>
          <w:szCs w:val="24"/>
          <w:lang w:eastAsia="es-CO"/>
        </w:rPr>
        <w:t> </w:t>
      </w:r>
    </w:p>
    <w:tbl>
      <w:tblPr>
        <w:tblW w:w="0" w:type="auto"/>
        <w:tblCellMar>
          <w:left w:w="0" w:type="dxa"/>
          <w:right w:w="0" w:type="dxa"/>
        </w:tblCellMar>
        <w:tblLook w:val="04A0" w:firstRow="1" w:lastRow="0" w:firstColumn="1" w:lastColumn="0" w:noHBand="0" w:noVBand="1"/>
      </w:tblPr>
      <w:tblGrid>
        <w:gridCol w:w="1969"/>
        <w:gridCol w:w="276"/>
        <w:gridCol w:w="276"/>
        <w:gridCol w:w="5802"/>
      </w:tblGrid>
      <w:tr w:rsidR="00F31416" w:rsidRPr="00F31416" w14:paraId="27C58A86" w14:textId="77777777" w:rsidTr="005512E1">
        <w:tc>
          <w:tcPr>
            <w:tcW w:w="0" w:type="auto"/>
            <w:tcBorders>
              <w:top w:val="nil"/>
              <w:left w:val="nil"/>
              <w:bottom w:val="nil"/>
              <w:right w:val="nil"/>
            </w:tcBorders>
            <w:shd w:val="clear" w:color="auto" w:fill="auto"/>
            <w:tcMar>
              <w:top w:w="0" w:type="dxa"/>
              <w:left w:w="108" w:type="dxa"/>
              <w:bottom w:w="0" w:type="dxa"/>
              <w:right w:w="108" w:type="dxa"/>
            </w:tcMar>
            <w:hideMark/>
          </w:tcPr>
          <w:p w14:paraId="6FE39A7A" w14:textId="77777777" w:rsidR="005512E1" w:rsidRPr="00F31416" w:rsidRDefault="005512E1" w:rsidP="005512E1">
            <w:pPr>
              <w:spacing w:after="0" w:line="240" w:lineRule="auto"/>
              <w:jc w:val="both"/>
              <w:rPr>
                <w:rFonts w:ascii="Times New Roman" w:eastAsia="Times New Roman" w:hAnsi="Times New Roman" w:cs="Times New Roman"/>
                <w:sz w:val="24"/>
                <w:szCs w:val="24"/>
                <w:lang w:eastAsia="es-CO"/>
              </w:rPr>
            </w:pPr>
            <w:r w:rsidRPr="00F31416">
              <w:rPr>
                <w:rFonts w:ascii="Times New Roman" w:eastAsia="Times New Roman" w:hAnsi="Times New Roman" w:cs="Times New Roman"/>
                <w:b/>
                <w:bCs/>
                <w:sz w:val="24"/>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9AA3282" w14:textId="77777777" w:rsidR="005512E1" w:rsidRPr="00F31416" w:rsidRDefault="005512E1" w:rsidP="005512E1">
            <w:pPr>
              <w:spacing w:after="0" w:line="240" w:lineRule="auto"/>
              <w:jc w:val="both"/>
              <w:rPr>
                <w:rFonts w:ascii="Times New Roman" w:eastAsia="Times New Roman" w:hAnsi="Times New Roman" w:cs="Times New Roman"/>
                <w:sz w:val="24"/>
                <w:szCs w:val="24"/>
                <w:lang w:eastAsia="es-CO"/>
              </w:rPr>
            </w:pPr>
            <w:r w:rsidRPr="00F31416">
              <w:rPr>
                <w:rFonts w:ascii="Times New Roman" w:eastAsia="Times New Roman" w:hAnsi="Times New Roman" w:cs="Times New Roman"/>
                <w:sz w:val="24"/>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1606630" w14:textId="77777777" w:rsidR="005512E1" w:rsidRPr="00F31416" w:rsidRDefault="005512E1" w:rsidP="005512E1">
            <w:pPr>
              <w:spacing w:after="0" w:line="240" w:lineRule="auto"/>
              <w:jc w:val="both"/>
              <w:rPr>
                <w:rFonts w:ascii="Times New Roman" w:eastAsia="Times New Roman" w:hAnsi="Times New Roman" w:cs="Times New Roman"/>
                <w:sz w:val="24"/>
                <w:szCs w:val="24"/>
                <w:lang w:eastAsia="es-CO"/>
              </w:rPr>
            </w:pPr>
            <w:r w:rsidRPr="00F31416">
              <w:rPr>
                <w:rFonts w:ascii="Times New Roman" w:eastAsia="Times New Roman" w:hAnsi="Times New Roman" w:cs="Times New Roman"/>
                <w:sz w:val="24"/>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A3D2BC9" w14:textId="77777777" w:rsidR="005512E1" w:rsidRPr="00F31416" w:rsidRDefault="005512E1" w:rsidP="005512E1">
            <w:pPr>
              <w:spacing w:after="0" w:line="240" w:lineRule="auto"/>
              <w:jc w:val="both"/>
              <w:rPr>
                <w:rFonts w:ascii="Times New Roman" w:eastAsia="Times New Roman" w:hAnsi="Times New Roman" w:cs="Times New Roman"/>
                <w:sz w:val="24"/>
                <w:szCs w:val="24"/>
                <w:lang w:eastAsia="es-CO"/>
              </w:rPr>
            </w:pPr>
            <w:r w:rsidRPr="00F31416">
              <w:rPr>
                <w:rFonts w:ascii="Times New Roman" w:eastAsia="Times New Roman" w:hAnsi="Times New Roman" w:cs="Times New Roman"/>
                <w:sz w:val="24"/>
                <w:szCs w:val="24"/>
                <w:lang w:eastAsia="es-CO"/>
              </w:rPr>
              <w:t>Impuesto sobre la Renta y Complementarios</w:t>
            </w:r>
          </w:p>
        </w:tc>
      </w:tr>
      <w:tr w:rsidR="00F31416" w:rsidRPr="00F31416" w14:paraId="3A60013D" w14:textId="77777777" w:rsidTr="005512E1">
        <w:tc>
          <w:tcPr>
            <w:tcW w:w="0" w:type="auto"/>
            <w:tcBorders>
              <w:top w:val="nil"/>
              <w:left w:val="nil"/>
              <w:bottom w:val="nil"/>
              <w:right w:val="nil"/>
            </w:tcBorders>
            <w:shd w:val="clear" w:color="auto" w:fill="auto"/>
            <w:tcMar>
              <w:top w:w="0" w:type="dxa"/>
              <w:left w:w="108" w:type="dxa"/>
              <w:bottom w:w="0" w:type="dxa"/>
              <w:right w:w="108" w:type="dxa"/>
            </w:tcMar>
            <w:hideMark/>
          </w:tcPr>
          <w:p w14:paraId="605FFB9D" w14:textId="77777777" w:rsidR="005512E1" w:rsidRPr="00F31416" w:rsidRDefault="005512E1" w:rsidP="005512E1">
            <w:pPr>
              <w:spacing w:after="0" w:line="240" w:lineRule="auto"/>
              <w:jc w:val="both"/>
              <w:rPr>
                <w:rFonts w:ascii="Times New Roman" w:eastAsia="Times New Roman" w:hAnsi="Times New Roman" w:cs="Times New Roman"/>
                <w:sz w:val="24"/>
                <w:szCs w:val="24"/>
                <w:lang w:eastAsia="es-CO"/>
              </w:rPr>
            </w:pPr>
            <w:r w:rsidRPr="00F31416">
              <w:rPr>
                <w:rFonts w:ascii="Times New Roman" w:eastAsia="Times New Roman" w:hAnsi="Times New Roman" w:cs="Times New Roman"/>
                <w:b/>
                <w:bCs/>
                <w:sz w:val="24"/>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D449412" w14:textId="77777777" w:rsidR="005512E1" w:rsidRPr="00F31416" w:rsidRDefault="005512E1" w:rsidP="005512E1">
            <w:pPr>
              <w:spacing w:after="0" w:line="240" w:lineRule="auto"/>
              <w:jc w:val="both"/>
              <w:rPr>
                <w:rFonts w:ascii="Times New Roman" w:eastAsia="Times New Roman" w:hAnsi="Times New Roman" w:cs="Times New Roman"/>
                <w:sz w:val="24"/>
                <w:szCs w:val="24"/>
                <w:lang w:eastAsia="es-CO"/>
              </w:rPr>
            </w:pPr>
            <w:r w:rsidRPr="00F31416">
              <w:rPr>
                <w:rFonts w:ascii="Times New Roman" w:eastAsia="Times New Roman" w:hAnsi="Times New Roman" w:cs="Times New Roman"/>
                <w:sz w:val="24"/>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AF14ECE" w14:textId="77777777" w:rsidR="005512E1" w:rsidRPr="00F31416" w:rsidRDefault="005512E1" w:rsidP="005512E1">
            <w:pPr>
              <w:spacing w:after="0" w:line="240" w:lineRule="auto"/>
              <w:jc w:val="both"/>
              <w:rPr>
                <w:rFonts w:ascii="Times New Roman" w:eastAsia="Times New Roman" w:hAnsi="Times New Roman" w:cs="Times New Roman"/>
                <w:sz w:val="24"/>
                <w:szCs w:val="24"/>
                <w:lang w:eastAsia="es-CO"/>
              </w:rPr>
            </w:pPr>
            <w:r w:rsidRPr="00F31416">
              <w:rPr>
                <w:rFonts w:ascii="Times New Roman" w:eastAsia="Times New Roman" w:hAnsi="Times New Roman" w:cs="Times New Roman"/>
                <w:sz w:val="24"/>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6690DA1" w14:textId="77777777" w:rsidR="005512E1" w:rsidRPr="00F31416" w:rsidRDefault="005512E1" w:rsidP="005512E1">
            <w:pPr>
              <w:spacing w:after="0" w:line="240" w:lineRule="auto"/>
              <w:jc w:val="both"/>
              <w:rPr>
                <w:rFonts w:ascii="Times New Roman" w:eastAsia="Times New Roman" w:hAnsi="Times New Roman" w:cs="Times New Roman"/>
                <w:sz w:val="24"/>
                <w:szCs w:val="24"/>
                <w:lang w:eastAsia="es-CO"/>
              </w:rPr>
            </w:pPr>
            <w:r w:rsidRPr="00F31416">
              <w:rPr>
                <w:rFonts w:ascii="Times New Roman" w:eastAsia="Times New Roman" w:hAnsi="Times New Roman" w:cs="Times New Roman"/>
                <w:sz w:val="24"/>
                <w:szCs w:val="24"/>
                <w:lang w:eastAsia="es-CO"/>
              </w:rPr>
              <w:t>Aportes Parafiscales</w:t>
            </w:r>
          </w:p>
          <w:p w14:paraId="073C9655" w14:textId="77777777" w:rsidR="005512E1" w:rsidRPr="00F31416" w:rsidRDefault="005512E1" w:rsidP="005512E1">
            <w:pPr>
              <w:spacing w:after="0" w:line="240" w:lineRule="auto"/>
              <w:jc w:val="both"/>
              <w:rPr>
                <w:rFonts w:ascii="Times New Roman" w:eastAsia="Times New Roman" w:hAnsi="Times New Roman" w:cs="Times New Roman"/>
                <w:sz w:val="24"/>
                <w:szCs w:val="24"/>
                <w:lang w:eastAsia="es-CO"/>
              </w:rPr>
            </w:pPr>
            <w:r w:rsidRPr="00F31416">
              <w:rPr>
                <w:rFonts w:ascii="Times New Roman" w:eastAsia="Times New Roman" w:hAnsi="Times New Roman" w:cs="Times New Roman"/>
                <w:sz w:val="24"/>
                <w:szCs w:val="24"/>
                <w:lang w:eastAsia="es-CO"/>
              </w:rPr>
              <w:t>APORTES PARAFISCALES – EXONERACIÓN</w:t>
            </w:r>
          </w:p>
        </w:tc>
      </w:tr>
      <w:tr w:rsidR="00F31416" w:rsidRPr="00F31416" w14:paraId="624B087E" w14:textId="77777777" w:rsidTr="005512E1">
        <w:tc>
          <w:tcPr>
            <w:tcW w:w="0" w:type="auto"/>
            <w:tcBorders>
              <w:top w:val="nil"/>
              <w:left w:val="nil"/>
              <w:bottom w:val="nil"/>
              <w:right w:val="nil"/>
            </w:tcBorders>
            <w:shd w:val="clear" w:color="auto" w:fill="auto"/>
            <w:tcMar>
              <w:top w:w="0" w:type="dxa"/>
              <w:left w:w="108" w:type="dxa"/>
              <w:bottom w:w="0" w:type="dxa"/>
              <w:right w:w="108" w:type="dxa"/>
            </w:tcMar>
            <w:hideMark/>
          </w:tcPr>
          <w:p w14:paraId="101C4A25" w14:textId="77777777" w:rsidR="005512E1" w:rsidRPr="00F31416" w:rsidRDefault="005512E1" w:rsidP="005512E1">
            <w:pPr>
              <w:spacing w:after="0" w:line="240" w:lineRule="auto"/>
              <w:jc w:val="both"/>
              <w:rPr>
                <w:rFonts w:ascii="Times New Roman" w:eastAsia="Times New Roman" w:hAnsi="Times New Roman" w:cs="Times New Roman"/>
                <w:sz w:val="24"/>
                <w:szCs w:val="24"/>
                <w:lang w:eastAsia="es-CO"/>
              </w:rPr>
            </w:pPr>
            <w:r w:rsidRPr="00F31416">
              <w:rPr>
                <w:rFonts w:ascii="Times New Roman" w:eastAsia="Times New Roman" w:hAnsi="Times New Roman" w:cs="Times New Roman"/>
                <w:b/>
                <w:bCs/>
                <w:sz w:val="24"/>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8551DC6" w14:textId="77777777" w:rsidR="005512E1" w:rsidRPr="00F31416" w:rsidRDefault="005512E1" w:rsidP="005512E1">
            <w:pPr>
              <w:spacing w:after="0" w:line="240" w:lineRule="auto"/>
              <w:jc w:val="both"/>
              <w:rPr>
                <w:rFonts w:ascii="Times New Roman" w:eastAsia="Times New Roman" w:hAnsi="Times New Roman" w:cs="Times New Roman"/>
                <w:sz w:val="24"/>
                <w:szCs w:val="24"/>
                <w:lang w:eastAsia="es-CO"/>
              </w:rPr>
            </w:pPr>
            <w:r w:rsidRPr="00F31416">
              <w:rPr>
                <w:rFonts w:ascii="Times New Roman" w:eastAsia="Times New Roman" w:hAnsi="Times New Roman" w:cs="Times New Roman"/>
                <w:sz w:val="24"/>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463EE79" w14:textId="77777777" w:rsidR="005512E1" w:rsidRPr="00F31416" w:rsidRDefault="005512E1" w:rsidP="005512E1">
            <w:pPr>
              <w:spacing w:after="0" w:line="240" w:lineRule="auto"/>
              <w:jc w:val="both"/>
              <w:rPr>
                <w:rFonts w:ascii="Times New Roman" w:eastAsia="Times New Roman" w:hAnsi="Times New Roman" w:cs="Times New Roman"/>
                <w:sz w:val="24"/>
                <w:szCs w:val="24"/>
                <w:lang w:eastAsia="es-CO"/>
              </w:rPr>
            </w:pPr>
            <w:r w:rsidRPr="00F31416">
              <w:rPr>
                <w:rFonts w:ascii="Times New Roman" w:eastAsia="Times New Roman" w:hAnsi="Times New Roman" w:cs="Times New Roman"/>
                <w:sz w:val="24"/>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8C084FA" w14:textId="77777777" w:rsidR="005512E1" w:rsidRPr="00F31416" w:rsidRDefault="005512E1" w:rsidP="005512E1">
            <w:pPr>
              <w:spacing w:after="0" w:line="240" w:lineRule="auto"/>
              <w:jc w:val="both"/>
              <w:rPr>
                <w:rFonts w:ascii="Times New Roman" w:eastAsia="Times New Roman" w:hAnsi="Times New Roman" w:cs="Times New Roman"/>
                <w:sz w:val="24"/>
                <w:szCs w:val="24"/>
                <w:lang w:eastAsia="es-CO"/>
              </w:rPr>
            </w:pPr>
            <w:r w:rsidRPr="00F31416">
              <w:rPr>
                <w:rFonts w:ascii="Times New Roman" w:eastAsia="Times New Roman" w:hAnsi="Times New Roman" w:cs="Times New Roman"/>
                <w:sz w:val="24"/>
                <w:szCs w:val="24"/>
                <w:lang w:eastAsia="es-CO"/>
              </w:rPr>
              <w:t>Artículos </w:t>
            </w:r>
            <w:hyperlink r:id="rId4" w:tooltip="Estatuto Tributario CETA" w:history="1">
              <w:r w:rsidRPr="00F31416">
                <w:rPr>
                  <w:rFonts w:ascii="Times New Roman" w:eastAsia="Times New Roman" w:hAnsi="Times New Roman" w:cs="Times New Roman"/>
                  <w:sz w:val="24"/>
                  <w:szCs w:val="24"/>
                  <w:u w:val="single"/>
                  <w:lang w:eastAsia="es-CO"/>
                </w:rPr>
                <w:t>19-5</w:t>
              </w:r>
            </w:hyperlink>
            <w:r w:rsidRPr="00F31416">
              <w:rPr>
                <w:rFonts w:ascii="Times New Roman" w:eastAsia="Times New Roman" w:hAnsi="Times New Roman" w:cs="Times New Roman"/>
                <w:sz w:val="24"/>
                <w:szCs w:val="24"/>
                <w:lang w:eastAsia="es-CO"/>
              </w:rPr>
              <w:t>, </w:t>
            </w:r>
            <w:hyperlink r:id="rId5" w:tooltip="Estatuto Tributario CETA" w:history="1">
              <w:r w:rsidRPr="00F31416">
                <w:rPr>
                  <w:rFonts w:ascii="Times New Roman" w:eastAsia="Times New Roman" w:hAnsi="Times New Roman" w:cs="Times New Roman"/>
                  <w:sz w:val="24"/>
                  <w:szCs w:val="24"/>
                  <w:u w:val="single"/>
                  <w:lang w:eastAsia="es-CO"/>
                </w:rPr>
                <w:t>114-1</w:t>
              </w:r>
            </w:hyperlink>
            <w:r w:rsidRPr="00F31416">
              <w:rPr>
                <w:rFonts w:ascii="Times New Roman" w:eastAsia="Times New Roman" w:hAnsi="Times New Roman" w:cs="Times New Roman"/>
                <w:sz w:val="24"/>
                <w:szCs w:val="24"/>
                <w:lang w:eastAsia="es-CO"/>
              </w:rPr>
              <w:t> del Estatuto Tributario</w:t>
            </w:r>
          </w:p>
          <w:p w14:paraId="3CBA4FAD" w14:textId="77777777" w:rsidR="005512E1" w:rsidRPr="00F31416" w:rsidRDefault="005512E1" w:rsidP="005512E1">
            <w:pPr>
              <w:spacing w:after="0" w:line="240" w:lineRule="auto"/>
              <w:jc w:val="both"/>
              <w:rPr>
                <w:rFonts w:ascii="Times New Roman" w:eastAsia="Times New Roman" w:hAnsi="Times New Roman" w:cs="Times New Roman"/>
                <w:sz w:val="24"/>
                <w:szCs w:val="24"/>
                <w:lang w:eastAsia="es-CO"/>
              </w:rPr>
            </w:pPr>
            <w:r w:rsidRPr="00F31416">
              <w:rPr>
                <w:rFonts w:ascii="Times New Roman" w:eastAsia="Times New Roman" w:hAnsi="Times New Roman" w:cs="Times New Roman"/>
                <w:sz w:val="24"/>
                <w:szCs w:val="24"/>
                <w:lang w:eastAsia="es-CO"/>
              </w:rPr>
              <w:t>Artículo 1.2.1.5.4.9. del Decreto 1625 de 2016</w:t>
            </w:r>
          </w:p>
          <w:p w14:paraId="528F660E" w14:textId="77777777" w:rsidR="005512E1" w:rsidRPr="00F31416" w:rsidRDefault="005512E1" w:rsidP="005512E1">
            <w:pPr>
              <w:spacing w:after="0" w:line="240" w:lineRule="auto"/>
              <w:jc w:val="both"/>
              <w:rPr>
                <w:rFonts w:ascii="Times New Roman" w:eastAsia="Times New Roman" w:hAnsi="Times New Roman" w:cs="Times New Roman"/>
                <w:sz w:val="24"/>
                <w:szCs w:val="24"/>
                <w:lang w:eastAsia="es-CO"/>
              </w:rPr>
            </w:pPr>
            <w:r w:rsidRPr="00F31416">
              <w:rPr>
                <w:rFonts w:ascii="Times New Roman" w:eastAsia="Times New Roman" w:hAnsi="Times New Roman" w:cs="Times New Roman"/>
                <w:sz w:val="24"/>
                <w:szCs w:val="24"/>
                <w:lang w:eastAsia="es-CO"/>
              </w:rPr>
              <w:t>Consejo de Estado Sentencia 24286 del 4 de julio de 2019</w:t>
            </w:r>
          </w:p>
        </w:tc>
      </w:tr>
    </w:tbl>
    <w:p w14:paraId="7391A8B4" w14:textId="77777777" w:rsidR="005512E1" w:rsidRPr="00F31416" w:rsidRDefault="005512E1" w:rsidP="005512E1">
      <w:pPr>
        <w:spacing w:after="0" w:line="240" w:lineRule="auto"/>
        <w:jc w:val="both"/>
        <w:rPr>
          <w:rFonts w:ascii="Times New Roman" w:eastAsia="Times New Roman" w:hAnsi="Times New Roman" w:cs="Times New Roman"/>
          <w:sz w:val="24"/>
          <w:szCs w:val="24"/>
          <w:lang w:eastAsia="es-CO"/>
        </w:rPr>
      </w:pPr>
      <w:r w:rsidRPr="00F31416">
        <w:rPr>
          <w:rFonts w:ascii="Times New Roman" w:eastAsia="Times New Roman" w:hAnsi="Times New Roman" w:cs="Times New Roman"/>
          <w:sz w:val="24"/>
          <w:szCs w:val="24"/>
          <w:lang w:eastAsia="es-CO"/>
        </w:rPr>
        <w:t> </w:t>
      </w:r>
    </w:p>
    <w:p w14:paraId="360206EA" w14:textId="77777777" w:rsidR="005512E1" w:rsidRPr="00F31416" w:rsidRDefault="005512E1" w:rsidP="005512E1">
      <w:pPr>
        <w:spacing w:after="0" w:line="240" w:lineRule="auto"/>
        <w:jc w:val="both"/>
        <w:rPr>
          <w:rFonts w:ascii="Times New Roman" w:eastAsia="Times New Roman" w:hAnsi="Times New Roman" w:cs="Times New Roman"/>
          <w:sz w:val="24"/>
          <w:szCs w:val="24"/>
          <w:lang w:eastAsia="es-CO"/>
        </w:rPr>
      </w:pPr>
      <w:r w:rsidRPr="00F31416">
        <w:rPr>
          <w:rFonts w:ascii="Times New Roman" w:eastAsia="Times New Roman" w:hAnsi="Times New Roman" w:cs="Times New Roman"/>
          <w:sz w:val="24"/>
          <w:szCs w:val="24"/>
          <w:lang w:eastAsia="es-CO"/>
        </w:rPr>
        <w:t> </w:t>
      </w:r>
    </w:p>
    <w:p w14:paraId="06D00CDD" w14:textId="77777777" w:rsidR="005512E1" w:rsidRPr="00F31416" w:rsidRDefault="005512E1" w:rsidP="005512E1">
      <w:pPr>
        <w:spacing w:after="0" w:line="240" w:lineRule="auto"/>
        <w:jc w:val="both"/>
        <w:rPr>
          <w:rFonts w:ascii="Times New Roman" w:eastAsia="Times New Roman" w:hAnsi="Times New Roman" w:cs="Times New Roman"/>
          <w:sz w:val="24"/>
          <w:szCs w:val="24"/>
          <w:lang w:eastAsia="es-CO"/>
        </w:rPr>
      </w:pPr>
      <w:r w:rsidRPr="00F31416">
        <w:rPr>
          <w:rFonts w:ascii="Times New Roman" w:eastAsia="Times New Roman" w:hAnsi="Times New Roman" w:cs="Times New Roman"/>
          <w:sz w:val="24"/>
          <w:szCs w:val="24"/>
          <w:lang w:eastAsia="es-CO"/>
        </w:rPr>
        <w:t>De conformidad con el artículo 20 del Decreto número 4048 de 2008 este despacho está facultado para absolver las consultas escritas que se formulen sobre la interpretación y aplicación de las normas tributarias, aduaneras o de comercio exterior y control cambiarlo en lo de competencia de la Dirección de Impuestos y Aduanas Nacionales.</w:t>
      </w:r>
    </w:p>
    <w:p w14:paraId="768A2331" w14:textId="77777777" w:rsidR="005512E1" w:rsidRPr="00F31416" w:rsidRDefault="005512E1" w:rsidP="005512E1">
      <w:pPr>
        <w:spacing w:after="0" w:line="240" w:lineRule="auto"/>
        <w:jc w:val="both"/>
        <w:rPr>
          <w:rFonts w:ascii="Times New Roman" w:eastAsia="Times New Roman" w:hAnsi="Times New Roman" w:cs="Times New Roman"/>
          <w:sz w:val="24"/>
          <w:szCs w:val="24"/>
          <w:lang w:eastAsia="es-CO"/>
        </w:rPr>
      </w:pPr>
      <w:r w:rsidRPr="00F31416">
        <w:rPr>
          <w:rFonts w:ascii="Times New Roman" w:eastAsia="Times New Roman" w:hAnsi="Times New Roman" w:cs="Times New Roman"/>
          <w:sz w:val="24"/>
          <w:szCs w:val="24"/>
          <w:lang w:eastAsia="es-CO"/>
        </w:rPr>
        <w:t> </w:t>
      </w:r>
    </w:p>
    <w:p w14:paraId="2C7515C0" w14:textId="77777777" w:rsidR="005512E1" w:rsidRPr="00F31416" w:rsidRDefault="005512E1" w:rsidP="005512E1">
      <w:pPr>
        <w:spacing w:after="0" w:line="240" w:lineRule="auto"/>
        <w:jc w:val="both"/>
        <w:rPr>
          <w:rFonts w:ascii="Times New Roman" w:eastAsia="Times New Roman" w:hAnsi="Times New Roman" w:cs="Times New Roman"/>
          <w:sz w:val="24"/>
          <w:szCs w:val="24"/>
          <w:lang w:eastAsia="es-CO"/>
        </w:rPr>
      </w:pPr>
      <w:r w:rsidRPr="00F31416">
        <w:rPr>
          <w:rFonts w:ascii="Times New Roman" w:eastAsia="Times New Roman" w:hAnsi="Times New Roman" w:cs="Times New Roman"/>
          <w:sz w:val="24"/>
          <w:szCs w:val="24"/>
          <w:lang w:eastAsia="es-CO"/>
        </w:rPr>
        <w:t>Mediante el radicado de la referencia la peticionaria pregunta si las propiedades horizontales mixtas, que explotan sus zonas comunes, están exoneradas de realizar los aportes parafiscales a favor del Servicio Nacional del Aprendizaje (SENA), del Instituto Colombiano de Bienestar Familiar (ICBF) y las cotizaciones al Régimen Contributivo de Salud.</w:t>
      </w:r>
    </w:p>
    <w:p w14:paraId="22D01F79" w14:textId="77777777" w:rsidR="005512E1" w:rsidRPr="00F31416" w:rsidRDefault="005512E1" w:rsidP="005512E1">
      <w:pPr>
        <w:spacing w:after="0" w:line="240" w:lineRule="auto"/>
        <w:jc w:val="both"/>
        <w:rPr>
          <w:rFonts w:ascii="Times New Roman" w:eastAsia="Times New Roman" w:hAnsi="Times New Roman" w:cs="Times New Roman"/>
          <w:sz w:val="24"/>
          <w:szCs w:val="24"/>
          <w:lang w:eastAsia="es-CO"/>
        </w:rPr>
      </w:pPr>
      <w:r w:rsidRPr="00F31416">
        <w:rPr>
          <w:rFonts w:ascii="Times New Roman" w:eastAsia="Times New Roman" w:hAnsi="Times New Roman" w:cs="Times New Roman"/>
          <w:sz w:val="24"/>
          <w:szCs w:val="24"/>
          <w:lang w:eastAsia="es-CO"/>
        </w:rPr>
        <w:t> </w:t>
      </w:r>
    </w:p>
    <w:p w14:paraId="25542BB1" w14:textId="77777777" w:rsidR="005512E1" w:rsidRPr="00F31416" w:rsidRDefault="005512E1" w:rsidP="005512E1">
      <w:pPr>
        <w:spacing w:after="0" w:line="240" w:lineRule="auto"/>
        <w:jc w:val="both"/>
        <w:rPr>
          <w:rFonts w:ascii="Times New Roman" w:eastAsia="Times New Roman" w:hAnsi="Times New Roman" w:cs="Times New Roman"/>
          <w:sz w:val="24"/>
          <w:szCs w:val="24"/>
          <w:lang w:eastAsia="es-CO"/>
        </w:rPr>
      </w:pPr>
      <w:r w:rsidRPr="00F31416">
        <w:rPr>
          <w:rFonts w:ascii="Times New Roman" w:eastAsia="Times New Roman" w:hAnsi="Times New Roman" w:cs="Times New Roman"/>
          <w:sz w:val="24"/>
          <w:szCs w:val="24"/>
          <w:lang w:eastAsia="es-CO"/>
        </w:rPr>
        <w:t>Sobre el particular se considera:</w:t>
      </w:r>
    </w:p>
    <w:p w14:paraId="291CEAC3" w14:textId="77777777" w:rsidR="005512E1" w:rsidRPr="00F31416" w:rsidRDefault="005512E1" w:rsidP="005512E1">
      <w:pPr>
        <w:spacing w:after="0" w:line="240" w:lineRule="auto"/>
        <w:jc w:val="both"/>
        <w:rPr>
          <w:rFonts w:ascii="Times New Roman" w:eastAsia="Times New Roman" w:hAnsi="Times New Roman" w:cs="Times New Roman"/>
          <w:sz w:val="24"/>
          <w:szCs w:val="24"/>
          <w:lang w:eastAsia="es-CO"/>
        </w:rPr>
      </w:pPr>
      <w:r w:rsidRPr="00F31416">
        <w:rPr>
          <w:rFonts w:ascii="Times New Roman" w:eastAsia="Times New Roman" w:hAnsi="Times New Roman" w:cs="Times New Roman"/>
          <w:sz w:val="24"/>
          <w:szCs w:val="24"/>
          <w:lang w:eastAsia="es-CO"/>
        </w:rPr>
        <w:t> </w:t>
      </w:r>
    </w:p>
    <w:p w14:paraId="5566FCED" w14:textId="77777777" w:rsidR="005512E1" w:rsidRPr="00F31416" w:rsidRDefault="005512E1" w:rsidP="005512E1">
      <w:pPr>
        <w:spacing w:after="0" w:line="240" w:lineRule="auto"/>
        <w:jc w:val="both"/>
        <w:rPr>
          <w:rFonts w:ascii="Times New Roman" w:eastAsia="Times New Roman" w:hAnsi="Times New Roman" w:cs="Times New Roman"/>
          <w:sz w:val="24"/>
          <w:szCs w:val="24"/>
          <w:lang w:eastAsia="es-CO"/>
        </w:rPr>
      </w:pPr>
      <w:r w:rsidRPr="00F31416">
        <w:rPr>
          <w:rFonts w:ascii="Times New Roman" w:eastAsia="Times New Roman" w:hAnsi="Times New Roman" w:cs="Times New Roman"/>
          <w:sz w:val="24"/>
          <w:szCs w:val="24"/>
          <w:lang w:eastAsia="es-CO"/>
        </w:rPr>
        <w:t>El artículo 1.2.1.5.4.9. del Decreto 1625 de 2016 establece respecto de la exoneración de aportes parafiscales a favor del Servicio Nacional de Aprendizaje –SENA, del Instituto Colombiano de Bienestar Familiar –ICBF y las cotizaciones del régimen contributivo de salud, lo siguiente:</w:t>
      </w:r>
    </w:p>
    <w:p w14:paraId="6B01F1E0" w14:textId="77777777" w:rsidR="005512E1" w:rsidRPr="00F31416" w:rsidRDefault="005512E1" w:rsidP="005512E1">
      <w:pPr>
        <w:spacing w:after="0" w:line="240" w:lineRule="auto"/>
        <w:ind w:left="180"/>
        <w:jc w:val="both"/>
        <w:rPr>
          <w:rFonts w:ascii="Times New Roman" w:eastAsia="Times New Roman" w:hAnsi="Times New Roman" w:cs="Times New Roman"/>
          <w:sz w:val="24"/>
          <w:szCs w:val="24"/>
          <w:lang w:eastAsia="es-CO"/>
        </w:rPr>
      </w:pPr>
      <w:r w:rsidRPr="00F31416">
        <w:rPr>
          <w:rFonts w:ascii="Times New Roman" w:eastAsia="Times New Roman" w:hAnsi="Times New Roman" w:cs="Times New Roman"/>
          <w:i/>
          <w:iCs/>
          <w:sz w:val="24"/>
          <w:szCs w:val="24"/>
          <w:lang w:eastAsia="es-CO"/>
        </w:rPr>
        <w:t> </w:t>
      </w:r>
    </w:p>
    <w:p w14:paraId="44A92027" w14:textId="77777777" w:rsidR="005512E1" w:rsidRPr="00F31416" w:rsidRDefault="005512E1" w:rsidP="005512E1">
      <w:pPr>
        <w:spacing w:after="0" w:line="240" w:lineRule="auto"/>
        <w:ind w:left="180"/>
        <w:jc w:val="both"/>
        <w:rPr>
          <w:rFonts w:ascii="Times New Roman" w:eastAsia="Times New Roman" w:hAnsi="Times New Roman" w:cs="Times New Roman"/>
          <w:sz w:val="24"/>
          <w:szCs w:val="24"/>
          <w:lang w:eastAsia="es-CO"/>
        </w:rPr>
      </w:pPr>
      <w:r w:rsidRPr="00F31416">
        <w:rPr>
          <w:rFonts w:ascii="Times New Roman" w:eastAsia="Times New Roman" w:hAnsi="Times New Roman" w:cs="Times New Roman"/>
          <w:b/>
          <w:bCs/>
          <w:i/>
          <w:iCs/>
          <w:sz w:val="24"/>
          <w:szCs w:val="24"/>
          <w:lang w:eastAsia="es-CO"/>
        </w:rPr>
        <w:t>Artículo 1.2.1.5.4.9. Aportes parafiscales.</w:t>
      </w:r>
      <w:r w:rsidRPr="00F31416">
        <w:rPr>
          <w:rFonts w:ascii="Times New Roman" w:eastAsia="Times New Roman" w:hAnsi="Times New Roman" w:cs="Times New Roman"/>
          <w:i/>
          <w:iCs/>
          <w:sz w:val="24"/>
          <w:szCs w:val="24"/>
          <w:lang w:eastAsia="es-CO"/>
        </w:rPr>
        <w:t> La exoneración de aportes parafiscales a favor del Servicio Nacional de Aprendizaje –SENA, del Instituto Colombiano de Bienestar Familiar –ICBF y las cotizaciones del régimen contributivo de salud, establecidas en el </w:t>
      </w:r>
      <w:hyperlink r:id="rId6" w:tooltip="Estatuto Tributario CETA" w:history="1">
        <w:r w:rsidRPr="00F31416">
          <w:rPr>
            <w:rFonts w:ascii="Times New Roman" w:eastAsia="Times New Roman" w:hAnsi="Times New Roman" w:cs="Times New Roman"/>
            <w:i/>
            <w:iCs/>
            <w:sz w:val="24"/>
            <w:szCs w:val="24"/>
            <w:u w:val="single"/>
            <w:lang w:eastAsia="es-CO"/>
          </w:rPr>
          <w:t>artículo 114-1</w:t>
        </w:r>
      </w:hyperlink>
      <w:r w:rsidRPr="00F31416">
        <w:rPr>
          <w:rFonts w:ascii="Times New Roman" w:eastAsia="Times New Roman" w:hAnsi="Times New Roman" w:cs="Times New Roman"/>
          <w:i/>
          <w:iCs/>
          <w:sz w:val="24"/>
          <w:szCs w:val="24"/>
          <w:lang w:eastAsia="es-CO"/>
        </w:rPr>
        <w:t> del Estatuto Tributario no resultan aplicables a los contribuyentes de que tratan los artículos </w:t>
      </w:r>
      <w:hyperlink r:id="rId7" w:tooltip="Estatuto Tributario CETA" w:history="1">
        <w:r w:rsidRPr="00F31416">
          <w:rPr>
            <w:rFonts w:ascii="Times New Roman" w:eastAsia="Times New Roman" w:hAnsi="Times New Roman" w:cs="Times New Roman"/>
            <w:i/>
            <w:iCs/>
            <w:sz w:val="24"/>
            <w:szCs w:val="24"/>
            <w:u w:val="single"/>
            <w:lang w:eastAsia="es-CO"/>
          </w:rPr>
          <w:t>19</w:t>
        </w:r>
      </w:hyperlink>
      <w:r w:rsidRPr="00F31416">
        <w:rPr>
          <w:rFonts w:ascii="Times New Roman" w:eastAsia="Times New Roman" w:hAnsi="Times New Roman" w:cs="Times New Roman"/>
          <w:i/>
          <w:iCs/>
          <w:sz w:val="24"/>
          <w:szCs w:val="24"/>
          <w:lang w:eastAsia="es-CO"/>
        </w:rPr>
        <w:t>, </w:t>
      </w:r>
      <w:hyperlink r:id="rId8" w:tooltip="Estatuto Tributario CETA" w:history="1">
        <w:r w:rsidRPr="00F31416">
          <w:rPr>
            <w:rFonts w:ascii="Times New Roman" w:eastAsia="Times New Roman" w:hAnsi="Times New Roman" w:cs="Times New Roman"/>
            <w:i/>
            <w:iCs/>
            <w:sz w:val="24"/>
            <w:szCs w:val="24"/>
            <w:u w:val="single"/>
            <w:lang w:eastAsia="es-CO"/>
          </w:rPr>
          <w:t>19-4</w:t>
        </w:r>
      </w:hyperlink>
      <w:r w:rsidRPr="00F31416">
        <w:rPr>
          <w:rFonts w:ascii="Times New Roman" w:eastAsia="Times New Roman" w:hAnsi="Times New Roman" w:cs="Times New Roman"/>
          <w:i/>
          <w:iCs/>
          <w:sz w:val="24"/>
          <w:szCs w:val="24"/>
          <w:lang w:eastAsia="es-CO"/>
        </w:rPr>
        <w:t> y </w:t>
      </w:r>
      <w:hyperlink r:id="rId9" w:tooltip="Estatuto Tributario CETA" w:history="1">
        <w:r w:rsidRPr="00F31416">
          <w:rPr>
            <w:rFonts w:ascii="Times New Roman" w:eastAsia="Times New Roman" w:hAnsi="Times New Roman" w:cs="Times New Roman"/>
            <w:i/>
            <w:iCs/>
            <w:sz w:val="24"/>
            <w:szCs w:val="24"/>
            <w:u w:val="single"/>
            <w:lang w:eastAsia="es-CO"/>
          </w:rPr>
          <w:t>19-5</w:t>
        </w:r>
      </w:hyperlink>
      <w:r w:rsidRPr="00F31416">
        <w:rPr>
          <w:rFonts w:ascii="Times New Roman" w:eastAsia="Times New Roman" w:hAnsi="Times New Roman" w:cs="Times New Roman"/>
          <w:i/>
          <w:iCs/>
          <w:sz w:val="24"/>
          <w:szCs w:val="24"/>
          <w:lang w:eastAsia="es-CO"/>
        </w:rPr>
        <w:t> del Estatuto Tributario y 1.2.1.5.1.2. y 1.2.1.5.2.1. y 1.2.1.5.3.1. de este Decreto, </w:t>
      </w:r>
      <w:r w:rsidRPr="00F31416">
        <w:rPr>
          <w:rFonts w:ascii="Times New Roman" w:eastAsia="Times New Roman" w:hAnsi="Times New Roman" w:cs="Times New Roman"/>
          <w:i/>
          <w:iCs/>
          <w:sz w:val="24"/>
          <w:szCs w:val="24"/>
          <w:u w:val="single"/>
          <w:lang w:eastAsia="es-CO"/>
        </w:rPr>
        <w:t>ni a las cajas de compensación señaladas en el </w:t>
      </w:r>
      <w:hyperlink r:id="rId10" w:tooltip="Estatuto Tributario CETA" w:history="1">
        <w:r w:rsidRPr="00F31416">
          <w:rPr>
            <w:rFonts w:ascii="Times New Roman" w:eastAsia="Times New Roman" w:hAnsi="Times New Roman" w:cs="Times New Roman"/>
            <w:i/>
            <w:iCs/>
            <w:sz w:val="24"/>
            <w:szCs w:val="24"/>
            <w:u w:val="single"/>
            <w:lang w:eastAsia="es-CO"/>
          </w:rPr>
          <w:t>artículo 19-2</w:t>
        </w:r>
      </w:hyperlink>
      <w:r w:rsidRPr="00F31416">
        <w:rPr>
          <w:rFonts w:ascii="Times New Roman" w:eastAsia="Times New Roman" w:hAnsi="Times New Roman" w:cs="Times New Roman"/>
          <w:i/>
          <w:iCs/>
          <w:sz w:val="24"/>
          <w:szCs w:val="24"/>
          <w:u w:val="single"/>
          <w:lang w:eastAsia="es-CO"/>
        </w:rPr>
        <w:t> del Estatuto Tributario</w:t>
      </w:r>
      <w:r w:rsidRPr="00F31416">
        <w:rPr>
          <w:rFonts w:ascii="Times New Roman" w:eastAsia="Times New Roman" w:hAnsi="Times New Roman" w:cs="Times New Roman"/>
          <w:i/>
          <w:iCs/>
          <w:sz w:val="24"/>
          <w:szCs w:val="24"/>
          <w:lang w:eastAsia="es-CO"/>
        </w:rPr>
        <w:t>.</w:t>
      </w:r>
    </w:p>
    <w:p w14:paraId="274342B9" w14:textId="77777777" w:rsidR="005512E1" w:rsidRPr="00F31416" w:rsidRDefault="005512E1" w:rsidP="005512E1">
      <w:pPr>
        <w:spacing w:after="0" w:line="240" w:lineRule="auto"/>
        <w:ind w:left="180"/>
        <w:jc w:val="both"/>
        <w:rPr>
          <w:rFonts w:ascii="Times New Roman" w:eastAsia="Times New Roman" w:hAnsi="Times New Roman" w:cs="Times New Roman"/>
          <w:sz w:val="24"/>
          <w:szCs w:val="24"/>
          <w:lang w:eastAsia="es-CO"/>
        </w:rPr>
      </w:pPr>
      <w:r w:rsidRPr="00F31416">
        <w:rPr>
          <w:rFonts w:ascii="Times New Roman" w:eastAsia="Times New Roman" w:hAnsi="Times New Roman" w:cs="Times New Roman"/>
          <w:sz w:val="24"/>
          <w:szCs w:val="24"/>
          <w:lang w:eastAsia="es-CO"/>
        </w:rPr>
        <w:t>(Subrayado fuera del texto)</w:t>
      </w:r>
    </w:p>
    <w:p w14:paraId="5A6382C8" w14:textId="77777777" w:rsidR="005512E1" w:rsidRPr="00F31416" w:rsidRDefault="005512E1" w:rsidP="005512E1">
      <w:pPr>
        <w:spacing w:after="0" w:line="240" w:lineRule="auto"/>
        <w:jc w:val="both"/>
        <w:rPr>
          <w:rFonts w:ascii="Times New Roman" w:eastAsia="Times New Roman" w:hAnsi="Times New Roman" w:cs="Times New Roman"/>
          <w:sz w:val="24"/>
          <w:szCs w:val="24"/>
          <w:lang w:eastAsia="es-CO"/>
        </w:rPr>
      </w:pPr>
      <w:r w:rsidRPr="00F31416">
        <w:rPr>
          <w:rFonts w:ascii="Times New Roman" w:eastAsia="Times New Roman" w:hAnsi="Times New Roman" w:cs="Times New Roman"/>
          <w:sz w:val="24"/>
          <w:szCs w:val="24"/>
          <w:lang w:eastAsia="es-CO"/>
        </w:rPr>
        <w:t> </w:t>
      </w:r>
    </w:p>
    <w:p w14:paraId="369D08C0" w14:textId="77777777" w:rsidR="005512E1" w:rsidRPr="00F31416" w:rsidRDefault="005512E1" w:rsidP="005512E1">
      <w:pPr>
        <w:spacing w:after="0" w:line="240" w:lineRule="auto"/>
        <w:jc w:val="both"/>
        <w:rPr>
          <w:rFonts w:ascii="Times New Roman" w:eastAsia="Times New Roman" w:hAnsi="Times New Roman" w:cs="Times New Roman"/>
          <w:sz w:val="24"/>
          <w:szCs w:val="24"/>
          <w:lang w:eastAsia="es-CO"/>
        </w:rPr>
      </w:pPr>
      <w:r w:rsidRPr="00F31416">
        <w:rPr>
          <w:rFonts w:ascii="Times New Roman" w:eastAsia="Times New Roman" w:hAnsi="Times New Roman" w:cs="Times New Roman"/>
          <w:sz w:val="24"/>
          <w:szCs w:val="24"/>
          <w:lang w:eastAsia="es-CO"/>
        </w:rPr>
        <w:lastRenderedPageBreak/>
        <w:t>Es importante señalar que esta norma que fue demandada a través del medio de control de simple nulidad, con el cual se solicitó la anulación de la expresión subrayada y su suspensión provisional.</w:t>
      </w:r>
    </w:p>
    <w:p w14:paraId="41657C46" w14:textId="77777777" w:rsidR="005512E1" w:rsidRPr="00F31416" w:rsidRDefault="005512E1" w:rsidP="005512E1">
      <w:pPr>
        <w:spacing w:after="0" w:line="240" w:lineRule="auto"/>
        <w:jc w:val="both"/>
        <w:rPr>
          <w:rFonts w:ascii="Times New Roman" w:eastAsia="Times New Roman" w:hAnsi="Times New Roman" w:cs="Times New Roman"/>
          <w:sz w:val="24"/>
          <w:szCs w:val="24"/>
          <w:lang w:eastAsia="es-CO"/>
        </w:rPr>
      </w:pPr>
      <w:r w:rsidRPr="00F31416">
        <w:rPr>
          <w:rFonts w:ascii="Times New Roman" w:eastAsia="Times New Roman" w:hAnsi="Times New Roman" w:cs="Times New Roman"/>
          <w:sz w:val="24"/>
          <w:szCs w:val="24"/>
          <w:lang w:eastAsia="es-CO"/>
        </w:rPr>
        <w:t> </w:t>
      </w:r>
    </w:p>
    <w:p w14:paraId="6D5D710E" w14:textId="77777777" w:rsidR="005512E1" w:rsidRPr="00F31416" w:rsidRDefault="005512E1" w:rsidP="005512E1">
      <w:pPr>
        <w:spacing w:after="0" w:line="240" w:lineRule="auto"/>
        <w:jc w:val="both"/>
        <w:rPr>
          <w:rFonts w:ascii="Times New Roman" w:eastAsia="Times New Roman" w:hAnsi="Times New Roman" w:cs="Times New Roman"/>
          <w:sz w:val="24"/>
          <w:szCs w:val="24"/>
          <w:lang w:eastAsia="es-CO"/>
        </w:rPr>
      </w:pPr>
      <w:r w:rsidRPr="00F31416">
        <w:rPr>
          <w:rFonts w:ascii="Times New Roman" w:eastAsia="Times New Roman" w:hAnsi="Times New Roman" w:cs="Times New Roman"/>
          <w:sz w:val="24"/>
          <w:szCs w:val="24"/>
          <w:lang w:eastAsia="es-CO"/>
        </w:rPr>
        <w:t>Esta última solicitud fue resuelta por la sección cuarta del Consejo de Estado, Consejero Ponente Dr. Julio Roberto Piza, mediante sentencia (número interno: 24286) del 4 de julio de 2019, donde se decretó la suspensión provisional de los efectos jurídicos de la expresión: </w:t>
      </w:r>
      <w:r w:rsidRPr="00F31416">
        <w:rPr>
          <w:rFonts w:ascii="Times New Roman" w:eastAsia="Times New Roman" w:hAnsi="Times New Roman" w:cs="Times New Roman"/>
          <w:i/>
          <w:iCs/>
          <w:sz w:val="24"/>
          <w:szCs w:val="24"/>
          <w:lang w:eastAsia="es-CO"/>
        </w:rPr>
        <w:t>"ni a las cajas de compensación señaladas en el </w:t>
      </w:r>
      <w:hyperlink r:id="rId11" w:tooltip="Estatuto Tributario CETA" w:history="1">
        <w:r w:rsidRPr="00F31416">
          <w:rPr>
            <w:rFonts w:ascii="Times New Roman" w:eastAsia="Times New Roman" w:hAnsi="Times New Roman" w:cs="Times New Roman"/>
            <w:i/>
            <w:iCs/>
            <w:sz w:val="24"/>
            <w:szCs w:val="24"/>
            <w:u w:val="single"/>
            <w:lang w:eastAsia="es-CO"/>
          </w:rPr>
          <w:t>artículo 19-2</w:t>
        </w:r>
      </w:hyperlink>
      <w:r w:rsidRPr="00F31416">
        <w:rPr>
          <w:rFonts w:ascii="Times New Roman" w:eastAsia="Times New Roman" w:hAnsi="Times New Roman" w:cs="Times New Roman"/>
          <w:i/>
          <w:iCs/>
          <w:sz w:val="24"/>
          <w:szCs w:val="24"/>
          <w:lang w:eastAsia="es-CO"/>
        </w:rPr>
        <w:t> del Estatuto Tributario".</w:t>
      </w:r>
    </w:p>
    <w:p w14:paraId="34C707F1" w14:textId="77777777" w:rsidR="005512E1" w:rsidRPr="00F31416" w:rsidRDefault="005512E1" w:rsidP="005512E1">
      <w:pPr>
        <w:spacing w:after="0" w:line="240" w:lineRule="auto"/>
        <w:jc w:val="both"/>
        <w:rPr>
          <w:rFonts w:ascii="Times New Roman" w:eastAsia="Times New Roman" w:hAnsi="Times New Roman" w:cs="Times New Roman"/>
          <w:sz w:val="24"/>
          <w:szCs w:val="24"/>
          <w:lang w:eastAsia="es-CO"/>
        </w:rPr>
      </w:pPr>
      <w:r w:rsidRPr="00F31416">
        <w:rPr>
          <w:rFonts w:ascii="Times New Roman" w:eastAsia="Times New Roman" w:hAnsi="Times New Roman" w:cs="Times New Roman"/>
          <w:sz w:val="24"/>
          <w:szCs w:val="24"/>
          <w:lang w:eastAsia="es-CO"/>
        </w:rPr>
        <w:t> </w:t>
      </w:r>
    </w:p>
    <w:p w14:paraId="52888B15" w14:textId="77777777" w:rsidR="005512E1" w:rsidRPr="00F31416" w:rsidRDefault="005512E1" w:rsidP="005512E1">
      <w:pPr>
        <w:spacing w:after="0" w:line="240" w:lineRule="auto"/>
        <w:jc w:val="both"/>
        <w:rPr>
          <w:rFonts w:ascii="Times New Roman" w:eastAsia="Times New Roman" w:hAnsi="Times New Roman" w:cs="Times New Roman"/>
          <w:sz w:val="24"/>
          <w:szCs w:val="24"/>
          <w:lang w:eastAsia="es-CO"/>
        </w:rPr>
      </w:pPr>
      <w:r w:rsidRPr="00F31416">
        <w:rPr>
          <w:rFonts w:ascii="Times New Roman" w:eastAsia="Times New Roman" w:hAnsi="Times New Roman" w:cs="Times New Roman"/>
          <w:sz w:val="24"/>
          <w:szCs w:val="24"/>
          <w:lang w:eastAsia="es-CO"/>
        </w:rPr>
        <w:t>Así las cosas, los efectos jurídicos del artículo 1.2.1.5.4.9. del Decreto 1625 de 2016 se mantienen respecto de las personas jurídicas originadas en la constitución de propiedad horizontal que destinan algún o alguno de sus bienes o áreas comunes para la explotación comercial o industrial o mixto de acuerdo con lo previsto en la Ley 675 de 2001, y que generan renta.</w:t>
      </w:r>
    </w:p>
    <w:p w14:paraId="5B4C78FF" w14:textId="77777777" w:rsidR="005512E1" w:rsidRPr="00F31416" w:rsidRDefault="005512E1" w:rsidP="005512E1">
      <w:pPr>
        <w:spacing w:after="0" w:line="240" w:lineRule="auto"/>
        <w:jc w:val="both"/>
        <w:rPr>
          <w:rFonts w:ascii="Times New Roman" w:eastAsia="Times New Roman" w:hAnsi="Times New Roman" w:cs="Times New Roman"/>
          <w:sz w:val="24"/>
          <w:szCs w:val="24"/>
          <w:lang w:eastAsia="es-CO"/>
        </w:rPr>
      </w:pPr>
      <w:r w:rsidRPr="00F31416">
        <w:rPr>
          <w:rFonts w:ascii="Times New Roman" w:eastAsia="Times New Roman" w:hAnsi="Times New Roman" w:cs="Times New Roman"/>
          <w:sz w:val="24"/>
          <w:szCs w:val="24"/>
          <w:lang w:eastAsia="es-CO"/>
        </w:rPr>
        <w:t> </w:t>
      </w:r>
    </w:p>
    <w:p w14:paraId="1FCABCB5" w14:textId="77777777" w:rsidR="005512E1" w:rsidRPr="00F31416" w:rsidRDefault="005512E1" w:rsidP="005512E1">
      <w:pPr>
        <w:spacing w:after="0" w:line="240" w:lineRule="auto"/>
        <w:jc w:val="both"/>
        <w:rPr>
          <w:rFonts w:ascii="Times New Roman" w:eastAsia="Times New Roman" w:hAnsi="Times New Roman" w:cs="Times New Roman"/>
          <w:sz w:val="24"/>
          <w:szCs w:val="24"/>
          <w:lang w:eastAsia="es-CO"/>
        </w:rPr>
      </w:pPr>
      <w:r w:rsidRPr="00F31416">
        <w:rPr>
          <w:rFonts w:ascii="Times New Roman" w:eastAsia="Times New Roman" w:hAnsi="Times New Roman" w:cs="Times New Roman"/>
          <w:sz w:val="24"/>
          <w:szCs w:val="24"/>
          <w:lang w:eastAsia="es-CO"/>
        </w:rPr>
        <w:t>Atentamente,</w:t>
      </w:r>
    </w:p>
    <w:p w14:paraId="3FB63F13" w14:textId="77777777" w:rsidR="005512E1" w:rsidRPr="00F31416" w:rsidRDefault="005512E1" w:rsidP="005512E1">
      <w:pPr>
        <w:spacing w:after="0" w:line="240" w:lineRule="auto"/>
        <w:jc w:val="both"/>
        <w:rPr>
          <w:rFonts w:ascii="Times New Roman" w:eastAsia="Times New Roman" w:hAnsi="Times New Roman" w:cs="Times New Roman"/>
          <w:sz w:val="24"/>
          <w:szCs w:val="24"/>
          <w:lang w:eastAsia="es-CO"/>
        </w:rPr>
      </w:pPr>
      <w:r w:rsidRPr="00F31416">
        <w:rPr>
          <w:rFonts w:ascii="Times New Roman" w:eastAsia="Times New Roman" w:hAnsi="Times New Roman" w:cs="Times New Roman"/>
          <w:sz w:val="24"/>
          <w:szCs w:val="24"/>
          <w:lang w:eastAsia="es-CO"/>
        </w:rPr>
        <w:t> </w:t>
      </w:r>
    </w:p>
    <w:p w14:paraId="4D9E9524" w14:textId="77777777" w:rsidR="005512E1" w:rsidRPr="00F31416" w:rsidRDefault="005512E1" w:rsidP="005512E1">
      <w:pPr>
        <w:spacing w:after="0" w:line="240" w:lineRule="auto"/>
        <w:jc w:val="both"/>
        <w:rPr>
          <w:rFonts w:ascii="Times New Roman" w:eastAsia="Times New Roman" w:hAnsi="Times New Roman" w:cs="Times New Roman"/>
          <w:sz w:val="24"/>
          <w:szCs w:val="24"/>
          <w:lang w:eastAsia="es-CO"/>
        </w:rPr>
      </w:pPr>
      <w:r w:rsidRPr="00F31416">
        <w:rPr>
          <w:rFonts w:ascii="Times New Roman" w:eastAsia="Times New Roman" w:hAnsi="Times New Roman" w:cs="Times New Roman"/>
          <w:sz w:val="24"/>
          <w:szCs w:val="24"/>
          <w:lang w:eastAsia="es-CO"/>
        </w:rPr>
        <w:t> </w:t>
      </w:r>
    </w:p>
    <w:p w14:paraId="57CC6CBB" w14:textId="77777777" w:rsidR="005512E1" w:rsidRPr="00F31416" w:rsidRDefault="005512E1" w:rsidP="005512E1">
      <w:pPr>
        <w:spacing w:after="0" w:line="240" w:lineRule="auto"/>
        <w:jc w:val="both"/>
        <w:rPr>
          <w:rFonts w:ascii="Times New Roman" w:eastAsia="Times New Roman" w:hAnsi="Times New Roman" w:cs="Times New Roman"/>
          <w:sz w:val="24"/>
          <w:szCs w:val="24"/>
          <w:lang w:eastAsia="es-CO"/>
        </w:rPr>
      </w:pPr>
      <w:r w:rsidRPr="00F31416">
        <w:rPr>
          <w:rFonts w:ascii="Times New Roman" w:eastAsia="Times New Roman" w:hAnsi="Times New Roman" w:cs="Times New Roman"/>
          <w:b/>
          <w:bCs/>
          <w:sz w:val="24"/>
          <w:szCs w:val="24"/>
          <w:lang w:eastAsia="es-CO"/>
        </w:rPr>
        <w:t>LORENZO CASTILLO BARVO</w:t>
      </w:r>
    </w:p>
    <w:p w14:paraId="587415ED" w14:textId="77777777" w:rsidR="005512E1" w:rsidRPr="00F31416" w:rsidRDefault="005512E1" w:rsidP="005512E1">
      <w:pPr>
        <w:spacing w:after="0" w:line="240" w:lineRule="auto"/>
        <w:jc w:val="both"/>
        <w:rPr>
          <w:rFonts w:ascii="Times New Roman" w:eastAsia="Times New Roman" w:hAnsi="Times New Roman" w:cs="Times New Roman"/>
          <w:sz w:val="24"/>
          <w:szCs w:val="24"/>
          <w:lang w:eastAsia="es-CO"/>
        </w:rPr>
      </w:pPr>
      <w:r w:rsidRPr="00F31416">
        <w:rPr>
          <w:rFonts w:ascii="Times New Roman" w:eastAsia="Times New Roman" w:hAnsi="Times New Roman" w:cs="Times New Roman"/>
          <w:sz w:val="24"/>
          <w:szCs w:val="24"/>
          <w:lang w:eastAsia="es-CO"/>
        </w:rPr>
        <w:t>Subdirector de Gestión Normativa y Doctrina (E)</w:t>
      </w:r>
    </w:p>
    <w:p w14:paraId="787A16B0" w14:textId="77777777" w:rsidR="005512E1" w:rsidRPr="00F31416" w:rsidRDefault="005512E1" w:rsidP="005512E1">
      <w:pPr>
        <w:spacing w:after="0" w:line="240" w:lineRule="auto"/>
        <w:jc w:val="both"/>
        <w:rPr>
          <w:rFonts w:ascii="Times New Roman" w:eastAsia="Times New Roman" w:hAnsi="Times New Roman" w:cs="Times New Roman"/>
          <w:sz w:val="24"/>
          <w:szCs w:val="24"/>
          <w:lang w:eastAsia="es-CO"/>
        </w:rPr>
      </w:pPr>
      <w:r w:rsidRPr="00F31416">
        <w:rPr>
          <w:rFonts w:ascii="Times New Roman" w:eastAsia="Times New Roman" w:hAnsi="Times New Roman" w:cs="Times New Roman"/>
          <w:sz w:val="24"/>
          <w:szCs w:val="24"/>
          <w:lang w:eastAsia="es-CO"/>
        </w:rPr>
        <w:t>Dirección de Gestión Jurídica</w:t>
      </w:r>
    </w:p>
    <w:p w14:paraId="7EC545DC" w14:textId="7CA11C15" w:rsidR="005512E1" w:rsidRPr="00F31416" w:rsidRDefault="005512E1" w:rsidP="005512E1">
      <w:pPr>
        <w:spacing w:after="0" w:line="240" w:lineRule="auto"/>
        <w:jc w:val="both"/>
        <w:rPr>
          <w:rFonts w:ascii="Times New Roman" w:eastAsia="Times New Roman" w:hAnsi="Times New Roman" w:cs="Times New Roman"/>
          <w:sz w:val="24"/>
          <w:szCs w:val="24"/>
          <w:lang w:eastAsia="es-CO"/>
        </w:rPr>
      </w:pPr>
      <w:r w:rsidRPr="00F31416">
        <w:rPr>
          <w:rFonts w:ascii="Times New Roman" w:eastAsia="Times New Roman" w:hAnsi="Times New Roman" w:cs="Times New Roman"/>
          <w:sz w:val="24"/>
          <w:szCs w:val="24"/>
          <w:lang w:eastAsia="es-CO"/>
        </w:rPr>
        <w:t>UAE-DIAN</w:t>
      </w:r>
    </w:p>
    <w:p w14:paraId="4BBF51E8" w14:textId="4D101AC2" w:rsidR="00F31416" w:rsidRPr="00F31416" w:rsidRDefault="00F31416" w:rsidP="005512E1">
      <w:pPr>
        <w:spacing w:after="0" w:line="240" w:lineRule="auto"/>
        <w:jc w:val="both"/>
        <w:rPr>
          <w:rFonts w:ascii="Times New Roman" w:eastAsia="Times New Roman" w:hAnsi="Times New Roman" w:cs="Times New Roman"/>
          <w:sz w:val="24"/>
          <w:szCs w:val="24"/>
          <w:lang w:eastAsia="es-CO"/>
        </w:rPr>
      </w:pPr>
      <w:r w:rsidRPr="00F31416">
        <w:rPr>
          <w:rFonts w:ascii="Times New Roman" w:eastAsia="Times New Roman" w:hAnsi="Times New Roman" w:cs="Times New Roman"/>
          <w:sz w:val="24"/>
          <w:szCs w:val="24"/>
          <w:lang w:eastAsia="es-CO"/>
        </w:rPr>
        <w:t>______________________________________________________________________________________________________________________</w:t>
      </w:r>
    </w:p>
    <w:p w14:paraId="711606B9" w14:textId="77777777" w:rsidR="00C47072" w:rsidRPr="00F31416" w:rsidRDefault="00C47072">
      <w:pPr>
        <w:rPr>
          <w:rFonts w:ascii="Times New Roman" w:hAnsi="Times New Roman" w:cs="Times New Roman"/>
          <w:sz w:val="24"/>
          <w:szCs w:val="24"/>
        </w:rPr>
      </w:pPr>
    </w:p>
    <w:sectPr w:rsidR="00C47072" w:rsidRPr="00F314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2E1"/>
    <w:rsid w:val="005512E1"/>
    <w:rsid w:val="00C47072"/>
    <w:rsid w:val="00F314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3FA72"/>
  <w15:chartTrackingRefBased/>
  <w15:docId w15:val="{5AABFE5D-0E68-4421-8F43-77DBD09C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56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250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eta.org.co/html/vista_de_un_articulo.asp?Norma=4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42481" TargetMode="External"/><Relationship Id="rId11" Type="http://schemas.openxmlformats.org/officeDocument/2006/relationships/hyperlink" Target="https://www.ceta.org.co/html/vista_de_un_articulo.asp?Norma=46" TargetMode="External"/><Relationship Id="rId5" Type="http://schemas.openxmlformats.org/officeDocument/2006/relationships/hyperlink" Target="https://www.ceta.org.co/html/vista_de_un_articulo.asp?Norma=42481" TargetMode="External"/><Relationship Id="rId10" Type="http://schemas.openxmlformats.org/officeDocument/2006/relationships/hyperlink" Target="https://www.ceta.org.co/html/vista_de_un_articulo.asp?Norma=46" TargetMode="External"/><Relationship Id="rId4" Type="http://schemas.openxmlformats.org/officeDocument/2006/relationships/hyperlink" Target="https://www.ceta.org.co/html/vista_de_un_articulo.asp?Norma=42503" TargetMode="External"/><Relationship Id="rId9" Type="http://schemas.openxmlformats.org/officeDocument/2006/relationships/hyperlink" Target="https://www.ceta.org.co/html/vista_de_un_articulo.asp?Norma=4250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3491</Characters>
  <Application>Microsoft Office Word</Application>
  <DocSecurity>0</DocSecurity>
  <Lines>29</Lines>
  <Paragraphs>8</Paragraphs>
  <ScaleCrop>false</ScaleCrop>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2</cp:revision>
  <dcterms:created xsi:type="dcterms:W3CDTF">2019-09-22T15:27:00Z</dcterms:created>
  <dcterms:modified xsi:type="dcterms:W3CDTF">2019-09-28T01:30:00Z</dcterms:modified>
</cp:coreProperties>
</file>